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156" w:beforeLines="50" w:after="156" w:afterLines="50"/>
        <w:jc w:val="center"/>
        <w:rPr>
          <w:rFonts w:hint="eastAsia" w:ascii="仿宋_GB2312" w:hAnsi="仿宋" w:eastAsia="仿宋_GB2312" w:cs="Times New Roman"/>
          <w:b/>
          <w:sz w:val="28"/>
          <w:szCs w:val="28"/>
        </w:rPr>
      </w:pPr>
      <w:r>
        <w:rPr>
          <w:rFonts w:hint="eastAsia" w:ascii="仿宋_GB2312" w:hAnsi="仿宋" w:eastAsia="仿宋_GB2312" w:cs="Times New Roman"/>
          <w:b/>
          <w:sz w:val="28"/>
          <w:szCs w:val="28"/>
        </w:rPr>
        <w:t>用户需求书</w:t>
      </w:r>
    </w:p>
    <w:p>
      <w:pPr>
        <w:autoSpaceDE w:val="0"/>
        <w:autoSpaceDN w:val="0"/>
        <w:adjustRightInd w:val="0"/>
        <w:ind w:left="-73" w:leftChars="-35" w:firstLine="459" w:firstLineChars="208"/>
        <w:jc w:val="left"/>
        <w:rPr>
          <w:rFonts w:hint="eastAsia" w:ascii="宋体" w:hAnsi="宋体" w:eastAsia="宋体" w:cs="宋体"/>
          <w:b/>
          <w:kern w:val="0"/>
          <w:sz w:val="22"/>
          <w:szCs w:val="22"/>
        </w:rPr>
      </w:pPr>
      <w:r>
        <w:rPr>
          <w:rFonts w:hint="eastAsia" w:ascii="宋体" w:hAnsi="宋体" w:eastAsia="宋体" w:cs="宋体"/>
          <w:b/>
          <w:kern w:val="0"/>
          <w:sz w:val="22"/>
          <w:szCs w:val="22"/>
        </w:rPr>
        <w:t>一、招标范围</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招标内容：负责从施工图设计、施工、协助停电流程申请、验收通电。</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计划工期：30个日历天。</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设计标准：满足中国南方电网有限责任公司标准设计要求。</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要求质量控制目标：通过各级验收合格并完成启动投产。</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采购清单：</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1.1、电气部分：10kV预装式箱变安装（800kVA）1台，直流馈电屏1台，电力电缆 ZC-YJV22-8.7/15kV-3*70/90米，10kV肘型电缆头 3*70mm2/2个，10kV全冷缩户内终端头 3*70mm2/2个，安健环标志牌（箱变）1套，电缆安健环1套，10kV预装式箱变接地网1套。</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1.2、土建部分：预装式箱变基础1座，圆木桩140条，480*700电缆沟5米，顶管（160HDPE管）75米，1层2列排管行车直线井2座，白蚁防治费80米，电缆标志牌30个，封堵器2个，及通过供电局确认图纸中所示全部电气工程内容。</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本项目付款方式：项目开工前采购单位支付中标金额的30%预付款给中标供应商；项目验收合格后，送电前支付至中标金额的97%，保留3%作为质保金。产工艺</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本项目的施工水路、电路安装工作由投标人负责完成，采购人提供必要协助，所需要的时间要考虑在总施工工期之内。项目施工用水、用电由采购人提供。</w:t>
      </w:r>
    </w:p>
    <w:p>
      <w:pPr>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投标人拟担任本项目负责人为：机电工程专业贰级或以上级别的注册建造师，且持有在有效期内的安全生产考核合格证书（B类），或能够提供广东省建筑施工企业管理人员安全生产考核信息系统安全生产管理人员证书信息的打印页。</w:t>
      </w:r>
    </w:p>
    <w:p>
      <w:pPr>
        <w:autoSpaceDE w:val="0"/>
        <w:autoSpaceDN w:val="0"/>
        <w:adjustRightInd w:val="0"/>
        <w:ind w:left="-73" w:leftChars="-35" w:firstLine="459" w:firstLineChars="208"/>
        <w:jc w:val="left"/>
        <w:rPr>
          <w:rFonts w:hint="eastAsia" w:ascii="宋体" w:hAnsi="宋体" w:eastAsia="宋体" w:cs="宋体"/>
          <w:b/>
          <w:kern w:val="0"/>
          <w:sz w:val="22"/>
          <w:szCs w:val="22"/>
        </w:rPr>
      </w:pPr>
      <w:r>
        <w:rPr>
          <w:rFonts w:hint="eastAsia" w:ascii="宋体" w:hAnsi="宋体" w:eastAsia="宋体" w:cs="宋体"/>
          <w:b/>
          <w:kern w:val="0"/>
          <w:sz w:val="22"/>
          <w:szCs w:val="22"/>
        </w:rPr>
        <w:t>三、参照品牌</w:t>
      </w:r>
    </w:p>
    <w:p>
      <w:pPr>
        <w:autoSpaceDE w:val="0"/>
        <w:autoSpaceDN w:val="0"/>
        <w:adjustRightInd w:val="0"/>
        <w:ind w:left="-73" w:leftChars="-35" w:firstLine="457" w:firstLineChars="208"/>
        <w:jc w:val="left"/>
        <w:rPr>
          <w:rFonts w:hint="eastAsia" w:ascii="宋体" w:hAnsi="宋体" w:eastAsia="宋体" w:cs="宋体"/>
          <w:kern w:val="0"/>
          <w:sz w:val="22"/>
          <w:szCs w:val="22"/>
        </w:rPr>
      </w:pPr>
      <w:r>
        <w:rPr>
          <w:rFonts w:hint="eastAsia" w:ascii="宋体" w:hAnsi="宋体" w:eastAsia="宋体" w:cs="宋体"/>
          <w:kern w:val="0"/>
          <w:sz w:val="22"/>
          <w:szCs w:val="22"/>
        </w:rPr>
        <w:t>（一）材料样板及其报价规定：</w:t>
      </w:r>
    </w:p>
    <w:p>
      <w:pPr>
        <w:autoSpaceDE w:val="0"/>
        <w:autoSpaceDN w:val="0"/>
        <w:adjustRightInd w:val="0"/>
        <w:ind w:left="-73" w:leftChars="-35" w:firstLine="457" w:firstLineChars="208"/>
        <w:jc w:val="left"/>
        <w:rPr>
          <w:rFonts w:hint="eastAsia" w:ascii="宋体" w:hAnsi="宋体" w:eastAsia="宋体" w:cs="宋体"/>
          <w:kern w:val="0"/>
          <w:sz w:val="22"/>
          <w:szCs w:val="22"/>
        </w:rPr>
      </w:pPr>
      <w:r>
        <w:rPr>
          <w:rFonts w:hint="eastAsia" w:ascii="宋体" w:hAnsi="宋体" w:eastAsia="宋体" w:cs="宋体"/>
          <w:kern w:val="0"/>
          <w:sz w:val="22"/>
          <w:szCs w:val="22"/>
        </w:rPr>
        <w:t>1.投标人应根据招标人提供的材料清单、有关资料及有关规定，由各投标人自行选定材料样板并进行报价。投标人所报的材料的品牌</w:t>
      </w:r>
      <w:bookmarkStart w:id="0" w:name="_GoBack"/>
      <w:bookmarkEnd w:id="0"/>
      <w:r>
        <w:rPr>
          <w:rFonts w:hint="eastAsia" w:ascii="宋体" w:hAnsi="宋体" w:eastAsia="宋体" w:cs="宋体"/>
          <w:kern w:val="0"/>
          <w:sz w:val="22"/>
          <w:szCs w:val="22"/>
        </w:rPr>
        <w:t>必须符合招标文件所提供的参考品牌或者是高于此品牌的其它品牌，并必须保证所选品牌材料的技术指标、质量要求等条件至少达到参考品牌的技术指标、质量要求等条件。如与参考品牌不符，需提供其生产厂家、技术参数、售后服务等方面与参考品牌的对比表，以证明其档次达到参考品牌的要求。</w:t>
      </w:r>
    </w:p>
    <w:p>
      <w:pPr>
        <w:autoSpaceDE w:val="0"/>
        <w:autoSpaceDN w:val="0"/>
        <w:adjustRightInd w:val="0"/>
        <w:ind w:left="-73" w:leftChars="-35" w:firstLine="457" w:firstLineChars="208"/>
        <w:jc w:val="left"/>
        <w:rPr>
          <w:rFonts w:hint="eastAsia" w:ascii="宋体" w:hAnsi="宋体" w:eastAsia="宋体" w:cs="宋体"/>
          <w:kern w:val="0"/>
          <w:sz w:val="22"/>
          <w:szCs w:val="22"/>
        </w:rPr>
      </w:pPr>
      <w:r>
        <w:rPr>
          <w:rFonts w:hint="eastAsia" w:ascii="宋体" w:hAnsi="宋体" w:eastAsia="宋体" w:cs="宋体"/>
          <w:kern w:val="0"/>
          <w:sz w:val="22"/>
          <w:szCs w:val="22"/>
        </w:rPr>
        <w:t>2.所选品牌材料必须在已标价的工程量清单（投标报价文件）的主要设备、材料价格表中标明，若在评标时发现其所选品牌材料的技术指标、质量要求等条件未达到参考品牌的技术指标、质量要求等条件，作负偏离处理；若在评标时未发现而在工程实施后发现报价内容不相符或未达到要求的，则在工程实施后，中标人必须按招标文件所提供的参考品牌要求完成工程，但该项内容的费用只按该项投标合价费用支付，招标人不予补回；另外，该项内容的增加工程以该项投标综合单价计付，并与按定额计算的综合单价（下浮后）进行对比，取低值，减少工程按该投标综合单价计算扣减。投标报价文件中未按要求选定材料品牌的投标人，将视为同意招标人提供的参考样板进行施工和验收。</w:t>
      </w:r>
    </w:p>
    <w:p>
      <w:pPr>
        <w:autoSpaceDE w:val="0"/>
        <w:autoSpaceDN w:val="0"/>
        <w:adjustRightInd w:val="0"/>
        <w:ind w:left="-73" w:leftChars="-35" w:firstLine="457" w:firstLineChars="208"/>
        <w:rPr>
          <w:rFonts w:hint="eastAsia" w:ascii="宋体" w:hAnsi="宋体" w:eastAsia="宋体" w:cs="宋体"/>
          <w:kern w:val="0"/>
          <w:sz w:val="22"/>
          <w:szCs w:val="22"/>
        </w:rPr>
      </w:pPr>
      <w:r>
        <w:rPr>
          <w:rFonts w:hint="eastAsia" w:ascii="宋体" w:hAnsi="宋体" w:eastAsia="宋体" w:cs="宋体"/>
          <w:kern w:val="0"/>
          <w:sz w:val="22"/>
          <w:szCs w:val="22"/>
        </w:rPr>
        <w:t>3.为确保工程主要材料的质量，承包人在施工前必须提供投标时所选材料样板给发包方和监理单位确认，并向监理单位办理材料报验手续，符合设计图纸及招标文件的质量要求的方可批准使用。在施工实施时发包人和监理单位将以施工前提供并经确认的的材料样板作为质量验收依据，对所选用主要材料及配件进行检查验收，验收合格后方可投入使用。如发现货不对板的，发包人和监理单位有权拒绝使用，并由承包人承担由此造成的损失。</w:t>
      </w:r>
    </w:p>
    <w:p>
      <w:pPr>
        <w:widowControl/>
        <w:overflowPunct w:val="0"/>
        <w:autoSpaceDE w:val="0"/>
        <w:autoSpaceDN w:val="0"/>
        <w:adjustRightInd w:val="0"/>
        <w:ind w:left="-73" w:leftChars="-35" w:firstLine="457" w:firstLineChars="208"/>
        <w:textAlignment w:val="baseline"/>
        <w:rPr>
          <w:rFonts w:hint="eastAsia" w:ascii="宋体" w:hAnsi="宋体" w:eastAsia="宋体" w:cs="宋体"/>
          <w:kern w:val="0"/>
          <w:sz w:val="22"/>
          <w:szCs w:val="22"/>
        </w:rPr>
      </w:pPr>
      <w:r>
        <w:rPr>
          <w:rFonts w:hint="eastAsia" w:ascii="宋体" w:hAnsi="宋体" w:eastAsia="宋体" w:cs="宋体"/>
          <w:kern w:val="0"/>
          <w:sz w:val="22"/>
          <w:szCs w:val="22"/>
        </w:rPr>
        <w:t>（二）主要材料规格、参照品牌</w:t>
      </w:r>
    </w:p>
    <w:tbl>
      <w:tblPr>
        <w:tblStyle w:val="3"/>
        <w:tblpPr w:leftFromText="180" w:rightFromText="180" w:vertAnchor="text" w:horzAnchor="margin" w:tblpXSpec="center" w:tblpY="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41"/>
        <w:gridCol w:w="156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2126"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材料名称</w:t>
            </w:r>
          </w:p>
        </w:tc>
        <w:tc>
          <w:tcPr>
            <w:tcW w:w="2241"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规格、型号</w:t>
            </w:r>
          </w:p>
        </w:tc>
        <w:tc>
          <w:tcPr>
            <w:tcW w:w="1560"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质量要求</w:t>
            </w:r>
          </w:p>
        </w:tc>
        <w:tc>
          <w:tcPr>
            <w:tcW w:w="2974"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参照品牌或生产商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autoSpaceDE w:val="0"/>
              <w:autoSpaceDN w:val="0"/>
              <w:adjustRightInd w:val="0"/>
              <w:ind w:firstLine="35" w:firstLineChars="16"/>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26"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干式变压器</w:t>
            </w:r>
          </w:p>
        </w:tc>
        <w:tc>
          <w:tcPr>
            <w:tcW w:w="2241"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按投标方案设计要求</w:t>
            </w:r>
          </w:p>
        </w:tc>
        <w:tc>
          <w:tcPr>
            <w:tcW w:w="1560"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能效变压器、纯铜</w:t>
            </w:r>
          </w:p>
        </w:tc>
        <w:tc>
          <w:tcPr>
            <w:tcW w:w="2974"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不限，符合能效要求即可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widowControl/>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2126"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框架断路器</w:t>
            </w:r>
          </w:p>
        </w:tc>
        <w:tc>
          <w:tcPr>
            <w:tcW w:w="2241"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按投标方案设计要求</w:t>
            </w:r>
          </w:p>
        </w:tc>
        <w:tc>
          <w:tcPr>
            <w:tcW w:w="1560"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国标</w:t>
            </w:r>
          </w:p>
        </w:tc>
        <w:tc>
          <w:tcPr>
            <w:tcW w:w="2974"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施耐德、ABB系列、西门子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widowControl/>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2126"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塑壳断路器</w:t>
            </w:r>
          </w:p>
        </w:tc>
        <w:tc>
          <w:tcPr>
            <w:tcW w:w="2241"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按投标方案设计要求</w:t>
            </w:r>
          </w:p>
        </w:tc>
        <w:tc>
          <w:tcPr>
            <w:tcW w:w="1560"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国标</w:t>
            </w:r>
          </w:p>
        </w:tc>
        <w:tc>
          <w:tcPr>
            <w:tcW w:w="2974"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施耐德、ABB系列、西门子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widowControl/>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2126"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微型断路器</w:t>
            </w:r>
          </w:p>
        </w:tc>
        <w:tc>
          <w:tcPr>
            <w:tcW w:w="2241"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按投标方案设计要求</w:t>
            </w:r>
          </w:p>
        </w:tc>
        <w:tc>
          <w:tcPr>
            <w:tcW w:w="1560"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国标</w:t>
            </w:r>
          </w:p>
        </w:tc>
        <w:tc>
          <w:tcPr>
            <w:tcW w:w="2974"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施耐德、ABB系列、西门子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4" w:type="dxa"/>
            <w:noWrap w:val="0"/>
            <w:vAlign w:val="center"/>
          </w:tcPr>
          <w:p>
            <w:pPr>
              <w:widowControl/>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2126"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电容补偿</w:t>
            </w:r>
          </w:p>
        </w:tc>
        <w:tc>
          <w:tcPr>
            <w:tcW w:w="2241"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按投标方案设计要求</w:t>
            </w:r>
          </w:p>
        </w:tc>
        <w:tc>
          <w:tcPr>
            <w:tcW w:w="1560"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国标</w:t>
            </w:r>
          </w:p>
        </w:tc>
        <w:tc>
          <w:tcPr>
            <w:tcW w:w="2974"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阿珂法、默东、诺基亚、督凯提、上海柯贝尔</w:t>
            </w:r>
          </w:p>
        </w:tc>
      </w:tr>
    </w:tbl>
    <w:p>
      <w:pPr>
        <w:widowControl/>
        <w:adjustRightInd w:val="0"/>
        <w:snapToGrid w:val="0"/>
        <w:rPr>
          <w:rFonts w:hint="eastAsia" w:ascii="宋体" w:hAnsi="宋体" w:eastAsia="宋体" w:cs="宋体"/>
          <w:b/>
          <w:sz w:val="22"/>
          <w:szCs w:val="22"/>
        </w:rPr>
      </w:pPr>
    </w:p>
    <w:p>
      <w:pPr>
        <w:autoSpaceDE w:val="0"/>
        <w:autoSpaceDN w:val="0"/>
        <w:adjustRightInd w:val="0"/>
        <w:ind w:left="-73" w:leftChars="-35" w:firstLine="459" w:firstLineChars="208"/>
        <w:jc w:val="left"/>
        <w:rPr>
          <w:rFonts w:hint="eastAsia" w:ascii="宋体" w:hAnsi="宋体" w:eastAsia="宋体" w:cs="宋体"/>
          <w:b/>
          <w:kern w:val="0"/>
          <w:sz w:val="22"/>
          <w:szCs w:val="22"/>
        </w:rPr>
      </w:pPr>
      <w:r>
        <w:rPr>
          <w:rFonts w:hint="eastAsia" w:ascii="宋体" w:hAnsi="宋体" w:eastAsia="宋体" w:cs="宋体"/>
          <w:b/>
          <w:sz w:val="22"/>
          <w:szCs w:val="22"/>
        </w:rPr>
        <w:t>四、</w:t>
      </w:r>
      <w:r>
        <w:rPr>
          <w:rFonts w:hint="eastAsia" w:ascii="宋体" w:hAnsi="宋体" w:eastAsia="宋体" w:cs="宋体"/>
          <w:b/>
          <w:kern w:val="0"/>
          <w:sz w:val="22"/>
          <w:szCs w:val="22"/>
        </w:rPr>
        <w:t>现场踏勘</w:t>
      </w:r>
    </w:p>
    <w:p>
      <w:pPr>
        <w:autoSpaceDE w:val="0"/>
        <w:autoSpaceDN w:val="0"/>
        <w:adjustRightInd w:val="0"/>
        <w:ind w:left="-73" w:leftChars="-35" w:firstLine="457" w:firstLineChars="208"/>
        <w:rPr>
          <w:rFonts w:hint="eastAsia" w:ascii="宋体" w:hAnsi="宋体" w:eastAsia="宋体" w:cs="宋体"/>
          <w:kern w:val="0"/>
          <w:sz w:val="22"/>
          <w:szCs w:val="22"/>
        </w:rPr>
      </w:pPr>
      <w:r>
        <w:rPr>
          <w:rFonts w:hint="eastAsia" w:ascii="宋体" w:hAnsi="宋体" w:eastAsia="宋体" w:cs="宋体"/>
          <w:kern w:val="0"/>
          <w:sz w:val="22"/>
          <w:szCs w:val="22"/>
        </w:rPr>
        <w:t>投标人自行到本项目现场进行踏勘，自行获取场地尺寸、周边环境、安装作业条件等项目情况，并以此设计项目方案及投标服务方案。如需进行相关场地安排的，可按招标文件采购人联系方式提前告知采购人。</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C0AFC"/>
    <w:rsid w:val="015C0AFC"/>
    <w:rsid w:val="162670E3"/>
    <w:rsid w:val="491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2020-12-07T03:29:00Z</dcterms:created>
  <dc:creator>施敏华</dc:creator>
  <cp:lastModifiedBy>施敏华</cp:lastModifiedBy>
  <dcterms:modified xsi:type="dcterms:W3CDTF">2020-12-07T06:35:40Z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